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Исследовательская деятельность педагога начального образования</w:t>
            </w:r>
          </w:p>
          <w:p>
            <w:pPr>
              <w:jc w:val="center"/>
              <w:spacing w:after="0" w:line="240" w:lineRule="auto"/>
              <w:rPr>
                <w:sz w:val="32"/>
                <w:szCs w:val="32"/>
              </w:rPr>
            </w:pPr>
            <w:r>
              <w:rPr>
                <w:rFonts w:ascii="Times New Roman" w:hAnsi="Times New Roman" w:cs="Times New Roman"/>
                <w:color w:val="#000000"/>
                <w:sz w:val="32"/>
                <w:szCs w:val="32"/>
              </w:rPr>
              <w:t> К.М.03.01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553.6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«Исследовательская деятельность педагога начального образования»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К.М.03.01 «Исследовательская деятельность педагога начального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«Исследовательская деятельность педагога начального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проектировать  программы исследования  в  рамках  выбранной проблематики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психолого-педагогическое и методическое сопровождение реализации основных общеобразовательных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методологические основы проектирования образовательной среды, основы психодидактики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проводить мониторинг личностных и метапредметных результатов освоения основной общеобразовательной программы</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психолого-педагогического и методического сопровождения реализации основных общеобразовательных программ</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К.М.03.01 «Исследовательская деятельность педагога начального образования» относится к обязательной части, является дисциплиной Блока Б1. «Дисциплины (модули)». Модуль "Теория и практика исследований в  начальном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осовение программы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Научно исследовательская деятельность педагога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Школьное методическое объединение учителей начальных классов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Самообразование как направление научно- исследовательской</w:t>
            </w:r>
          </w:p>
          <w:p>
            <w:pPr>
              <w:jc w:val="left"/>
              <w:spacing w:after="0" w:line="240" w:lineRule="auto"/>
              <w:rPr>
                <w:sz w:val="24"/>
                <w:szCs w:val="24"/>
              </w:rPr>
            </w:pPr>
            <w:r>
              <w:rPr>
                <w:rFonts w:ascii="Times New Roman" w:hAnsi="Times New Roman" w:cs="Times New Roman"/>
                <w:color w:val="#000000"/>
                <w:sz w:val="24"/>
                <w:szCs w:val="24"/>
              </w:rPr>
              <w:t>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Педагогический проект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Методическая разработка.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Научная конференция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Публикационная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Школьное методическое объединение учителей начальных классов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Самообразование как направление научно- исследовательской</w:t>
            </w:r>
          </w:p>
          <w:p>
            <w:pPr>
              <w:jc w:val="left"/>
              <w:spacing w:after="0" w:line="240" w:lineRule="auto"/>
              <w:rPr>
                <w:sz w:val="24"/>
                <w:szCs w:val="24"/>
              </w:rPr>
            </w:pPr>
            <w:r>
              <w:rPr>
                <w:rFonts w:ascii="Times New Roman" w:hAnsi="Times New Roman" w:cs="Times New Roman"/>
                <w:color w:val="#000000"/>
                <w:sz w:val="24"/>
                <w:szCs w:val="24"/>
              </w:rPr>
              <w:t>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Разработка педагогического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Методическая разработка.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Научно-исследовательская деятельность педагога начальной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Самообразование как направление научно- исследовательской</w:t>
            </w:r>
          </w:p>
          <w:p>
            <w:pPr>
              <w:jc w:val="left"/>
              <w:spacing w:after="0" w:line="240" w:lineRule="auto"/>
              <w:rPr>
                <w:sz w:val="24"/>
                <w:szCs w:val="24"/>
              </w:rPr>
            </w:pPr>
            <w:r>
              <w:rPr>
                <w:rFonts w:ascii="Times New Roman" w:hAnsi="Times New Roman" w:cs="Times New Roman"/>
                <w:color w:val="#000000"/>
                <w:sz w:val="24"/>
                <w:szCs w:val="24"/>
              </w:rPr>
              <w:t>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Научная конференция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Публикационная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4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Научно исследовательская деятельность педагога начальной школы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Нормативная база, определяющая НИД педагога: Закон «Об образовании в РФ», Профессиональный стандарт педагога, ФГОС НОО и т.д. Направления НИД педагога: выполнение бюджетных научно-изыскательских работ, коллективных договоров; написание и подготовка научных статей, докладов выступления на методических и методологических семинарах, конференциях; участие в работе советов, предметно методических комиссий; руководство научно-исследовательской работой студентов; консультации обучающихся, участвующих в научно-исследовательской работе; обучение в аспирантуре, магистратуре; соискательство; работа в аспирантских семинарах вуза и др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Школьное методическое объединение учителей начальных классов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Организационная работа: составление общей характеристики педагогических кадров. Диагностика. Планирование. Ведение и оформление протоколов заседаний. Создание методической копилки (доклады членов МО, планы-конспекты открытых уроков, тематические разработки, дидактический материал, методические рекомендации и т.д.). Учебно-методическая работа.  Внедрение в практику работы современных требований к учебному процессу. Ознакомление с новинками методической, психолого-педагогической, научно-популярной литературы, истематический обзор предметных журналов. Организация обмена опытом работы и внедрение эффективного педагогического опыта. Систематический анализ качества знаний, умений и навыков учащихся.  Анализ работы за прошедший год. План работы МО на текущий учебный год: цель, приоритетные направления, задачи на новый учебный год.</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Самообразование как направление научно-исследовательской</w:t>
            </w:r>
          </w:p>
          <w:p>
            <w:pPr>
              <w:jc w:val="center"/>
              <w:spacing w:after="0" w:line="240" w:lineRule="auto"/>
              <w:rPr>
                <w:sz w:val="24"/>
                <w:szCs w:val="24"/>
              </w:rPr>
            </w:pPr>
            <w:r>
              <w:rPr>
                <w:rFonts w:ascii="Times New Roman" w:hAnsi="Times New Roman" w:cs="Times New Roman"/>
                <w:b/>
                <w:color w:val="#000000"/>
                <w:sz w:val="24"/>
                <w:szCs w:val="24"/>
              </w:rPr>
              <w:t> деятельности педагога.</w:t>
            </w:r>
          </w:p>
        </w:tc>
      </w:tr>
      <w:tr>
        <w:trPr>
          <w:trHeight w:hRule="exact" w:val="4094.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способности выбирать педагогические технологии, адекватные приоритетным задачам воспитания. Потребности, мотивы, побуждающие учителя к самообразованию: необходимость поиска и анализа новой информации; желание творчества (работа должна быть интересной и доставлять удовольствие); соответствие современным требованиям; конкуренция; общественное мнение; интерес к делу. Формы организации самообразования педагога: 1) специальная образовательная подготовка (получение высшего образования или второй специальности); 2) повышение квалификации (на курсах и в межкурсовой период): в рамках курсовой подготовки в ИПКРО с использованием дистанционных технологий; 3) групповая самообразовательная работа: работа методических объединений, творческих групп (проведение собеседований, ежегодных отчетов, посещение и анализ уроков коллег), проведение циклов лекций, семинаров, педагогических чтений; 4) индивидуальная самообразовательная работа с помощью: средств массовой информации, вычислительной и оргтехники, библиотек, музеев, исследований, экспериментов, осмысления передового опыта и обобщения собственной практической деятельности, формирование портфолио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(участите в разнообразных конкурсах, мастер-классах, сетевых сообществах и т.д.). Результат самообразования: повышение качества преподавания предмета; разработанные или изданные методические пособия, статьи, программы, сценарии, исследования; разработка новых форм, методов и приемов обучения; доклады, выступления; разработка дидактических материалов, тестов, наглядностей; выработка методических рекомендаций по применению новой информационной технологии; разработка и проведение открытых уроков по собственным, новаторским технологиям; создание комплектов педагогических разработок; проведение тренингов, семинаров, конференций, мастер-классов, обобщение опыта по исследуемой проблеме (теме); повышение престижа образовательного учреждения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Педагогический проект</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Педагогический проект – понятие.  Типы проектов: исследовательские, творческие, игровые, информационные, практико ориентированные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Методическая разработка.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методической разработки. Структура методической разработки. Оформление методической разработки. Оформление текстовой части. Оформление табличного и графического материала. Оформление библиографических ссылок. Оформление списка используемой литературы. Оформление приложений. Требования, предъявляемые к методической разработке. Публикация и распространение методических разработок. Поиск и публикация методических разработок с использованием IT-технологий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Научная конференция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Участники. Виды конференций. Информационные</w:t>
            </w:r>
          </w:p>
          <w:p>
            <w:pPr>
              <w:jc w:val="both"/>
              <w:spacing w:after="0" w:line="240" w:lineRule="auto"/>
              <w:rPr>
                <w:sz w:val="24"/>
                <w:szCs w:val="24"/>
              </w:rPr>
            </w:pPr>
            <w:r>
              <w:rPr>
                <w:rFonts w:ascii="Times New Roman" w:hAnsi="Times New Roman" w:cs="Times New Roman"/>
                <w:color w:val="#000000"/>
                <w:sz w:val="24"/>
                <w:szCs w:val="24"/>
              </w:rPr>
              <w:t> базы о проводимых конференциях. Внутришкольная конференция.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Публикационная деятельность педагога.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Нормативная база публикационной</w:t>
            </w:r>
          </w:p>
          <w:p>
            <w:pPr>
              <w:jc w:val="both"/>
              <w:spacing w:after="0" w:line="240" w:lineRule="auto"/>
              <w:rPr>
                <w:sz w:val="24"/>
                <w:szCs w:val="24"/>
              </w:rPr>
            </w:pPr>
            <w:r>
              <w:rPr>
                <w:rFonts w:ascii="Times New Roman" w:hAnsi="Times New Roman" w:cs="Times New Roman"/>
                <w:color w:val="#000000"/>
                <w:sz w:val="24"/>
                <w:szCs w:val="24"/>
              </w:rPr>
              <w:t> деятельности педагога. Выбор темы публикации. Поиск издательства. Информационные</w:t>
            </w:r>
          </w:p>
          <w:p>
            <w:pPr>
              <w:jc w:val="both"/>
              <w:spacing w:after="0" w:line="240" w:lineRule="auto"/>
              <w:rPr>
                <w:sz w:val="24"/>
                <w:szCs w:val="24"/>
              </w:rPr>
            </w:pPr>
            <w:r>
              <w:rPr>
                <w:rFonts w:ascii="Times New Roman" w:hAnsi="Times New Roman" w:cs="Times New Roman"/>
                <w:color w:val="#000000"/>
                <w:sz w:val="24"/>
                <w:szCs w:val="24"/>
              </w:rPr>
              <w:t> базы, сайты, альманахи. Подготовка публикации. Структура текста. Соблюдение</w:t>
            </w:r>
          </w:p>
          <w:p>
            <w:pPr>
              <w:jc w:val="both"/>
              <w:spacing w:after="0" w:line="240" w:lineRule="auto"/>
              <w:rPr>
                <w:sz w:val="24"/>
                <w:szCs w:val="24"/>
              </w:rPr>
            </w:pPr>
            <w:r>
              <w:rPr>
                <w:rFonts w:ascii="Times New Roman" w:hAnsi="Times New Roman" w:cs="Times New Roman"/>
                <w:color w:val="#000000"/>
                <w:sz w:val="24"/>
                <w:szCs w:val="24"/>
              </w:rPr>
              <w:t> требований публикации. Оформление текстов. Выходные данные. Оформление</w:t>
            </w:r>
          </w:p>
          <w:p>
            <w:pPr>
              <w:jc w:val="both"/>
              <w:spacing w:after="0" w:line="240" w:lineRule="auto"/>
              <w:rPr>
                <w:sz w:val="24"/>
                <w:szCs w:val="24"/>
              </w:rPr>
            </w:pPr>
            <w:r>
              <w:rPr>
                <w:rFonts w:ascii="Times New Roman" w:hAnsi="Times New Roman" w:cs="Times New Roman"/>
                <w:color w:val="#000000"/>
                <w:sz w:val="24"/>
                <w:szCs w:val="24"/>
              </w:rPr>
              <w:t> библиографического списка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Школьное методическое объединение учителей начальных классов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Интерактивная форма: составление плана ШМО учителей начальных классов. Составление протоколов ШМО.  Составление анализа работы за прошедший год.</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Самообразование как направление научно-исследовательской</w:t>
            </w:r>
          </w:p>
          <w:p>
            <w:pPr>
              <w:jc w:val="center"/>
              <w:spacing w:after="0" w:line="240" w:lineRule="auto"/>
              <w:rPr>
                <w:sz w:val="24"/>
                <w:szCs w:val="24"/>
              </w:rPr>
            </w:pPr>
            <w:r>
              <w:rPr>
                <w:rFonts w:ascii="Times New Roman" w:hAnsi="Times New Roman" w:cs="Times New Roman"/>
                <w:b/>
                <w:color w:val="#000000"/>
                <w:sz w:val="24"/>
                <w:szCs w:val="24"/>
              </w:rPr>
              <w:t> деятельности педагога.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Практическая работа: разработка и публикация статьи, программы, сценария, разработка дидактических материалов, тестов, наглядностей; разработка сценария  открытого урока ;разработка педагогического  тренинга или  мастер-класса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Разработка педагогического проекта.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Методическая разработка.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Составление и публикация методической разработки.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Научно-исследовательская деятельность педагога начальной школы.</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Анализ  Закона «Об образовании в РФ»</w:t>
            </w:r>
          </w:p>
          <w:p>
            <w:pPr>
              <w:jc w:val="left"/>
              <w:spacing w:after="0" w:line="240" w:lineRule="auto"/>
              <w:rPr>
                <w:sz w:val="24"/>
                <w:szCs w:val="24"/>
              </w:rPr>
            </w:pPr>
            <w:r>
              <w:rPr>
                <w:rFonts w:ascii="Times New Roman" w:hAnsi="Times New Roman" w:cs="Times New Roman"/>
                <w:color w:val="#000000"/>
                <w:sz w:val="24"/>
                <w:szCs w:val="24"/>
              </w:rPr>
              <w:t> 2.	Аналитический обзор  Профессионального стандарта педагога. Исследовательские компетенции педагога.</w:t>
            </w:r>
          </w:p>
          <w:p>
            <w:pPr>
              <w:jc w:val="left"/>
              <w:spacing w:after="0" w:line="240" w:lineRule="auto"/>
              <w:rPr>
                <w:sz w:val="24"/>
                <w:szCs w:val="24"/>
              </w:rPr>
            </w:pPr>
            <w:r>
              <w:rPr>
                <w:rFonts w:ascii="Times New Roman" w:hAnsi="Times New Roman" w:cs="Times New Roman"/>
                <w:color w:val="#000000"/>
                <w:sz w:val="24"/>
                <w:szCs w:val="24"/>
              </w:rPr>
              <w:t> 3.	 ФГОС НОО и его особенности.</w:t>
            </w:r>
          </w:p>
          <w:p>
            <w:pPr>
              <w:jc w:val="left"/>
              <w:spacing w:after="0" w:line="240" w:lineRule="auto"/>
              <w:rPr>
                <w:sz w:val="24"/>
                <w:szCs w:val="24"/>
              </w:rPr>
            </w:pPr>
            <w:r>
              <w:rPr>
                <w:rFonts w:ascii="Times New Roman" w:hAnsi="Times New Roman" w:cs="Times New Roman"/>
                <w:color w:val="#000000"/>
                <w:sz w:val="24"/>
                <w:szCs w:val="24"/>
              </w:rPr>
              <w:t> 4.	 Направления НИД педагога</w:t>
            </w:r>
          </w:p>
          <w:p>
            <w:pPr>
              <w:jc w:val="left"/>
              <w:spacing w:after="0" w:line="240" w:lineRule="auto"/>
              <w:rPr>
                <w:sz w:val="24"/>
                <w:szCs w:val="24"/>
              </w:rPr>
            </w:pPr>
            <w:r>
              <w:rPr>
                <w:rFonts w:ascii="Times New Roman" w:hAnsi="Times New Roman" w:cs="Times New Roman"/>
                <w:color w:val="#000000"/>
                <w:sz w:val="24"/>
                <w:szCs w:val="24"/>
              </w:rPr>
              <w:t> 5.	Особенности бучения  в аспирантуре, магистратуре; соискательство</w:t>
            </w:r>
          </w:p>
        </w:tc>
      </w:tr>
      <w:tr>
        <w:trPr>
          <w:trHeight w:hRule="exact" w:val="8.084821"/>
        </w:trPr>
        <w:tc>
          <w:tcPr>
            <w:tcW w:w="9640" w:type="dxa"/>
          </w:tcPr>
          <w:p/>
        </w:tc>
      </w:tr>
      <w:tr>
        <w:trPr>
          <w:trHeight w:hRule="exact" w:val="574.328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Самообразование как направление научно-исследовательской</w:t>
            </w:r>
          </w:p>
          <w:p>
            <w:pPr>
              <w:jc w:val="center"/>
              <w:spacing w:after="0" w:line="240" w:lineRule="auto"/>
              <w:rPr>
                <w:sz w:val="24"/>
                <w:szCs w:val="24"/>
              </w:rPr>
            </w:pPr>
            <w:r>
              <w:rPr>
                <w:rFonts w:ascii="Times New Roman" w:hAnsi="Times New Roman" w:cs="Times New Roman"/>
                <w:b/>
                <w:color w:val="#000000"/>
                <w:sz w:val="24"/>
                <w:szCs w:val="24"/>
              </w:rPr>
              <w:t> деятельности педагога.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31"/>
        </w:trPr>
        <w:tc>
          <w:tcPr>
            <w:tcW w:w="9654" w:type="dxa"/>
            <w:tcBorders>
</w:tcBorders>
            <w:shd w:val="clear" w:color="#000000" w:fill="#FFFFFF"/>
            <w:vAlign w:val="top"/>
            <w:tcMar>
              <w:left w:w="34" w:type="dxa"/>
              <w:right w:w="34" w:type="dxa"/>
            </w:tcMar>
          </w:tcPr>
          <w:p/>
        </w:tc>
      </w:tr>
      <w:tr>
        <w:trPr>
          <w:trHeight w:hRule="exact" w:val="21.315"/>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Потребности, мотивы, побуждающие учителя к самообразованию</w:t>
            </w:r>
          </w:p>
          <w:p>
            <w:pPr>
              <w:jc w:val="left"/>
              <w:spacing w:after="0" w:line="240" w:lineRule="auto"/>
              <w:rPr>
                <w:sz w:val="24"/>
                <w:szCs w:val="24"/>
              </w:rPr>
            </w:pPr>
            <w:r>
              <w:rPr>
                <w:rFonts w:ascii="Times New Roman" w:hAnsi="Times New Roman" w:cs="Times New Roman"/>
                <w:color w:val="#000000"/>
                <w:sz w:val="24"/>
                <w:szCs w:val="24"/>
              </w:rPr>
              <w:t> 2. Формы организации самообразования педагога:</w:t>
            </w:r>
          </w:p>
          <w:p>
            <w:pPr>
              <w:jc w:val="left"/>
              <w:spacing w:after="0" w:line="240" w:lineRule="auto"/>
              <w:rPr>
                <w:sz w:val="24"/>
                <w:szCs w:val="24"/>
              </w:rPr>
            </w:pPr>
            <w:r>
              <w:rPr>
                <w:rFonts w:ascii="Times New Roman" w:hAnsi="Times New Roman" w:cs="Times New Roman"/>
                <w:color w:val="#000000"/>
                <w:sz w:val="24"/>
                <w:szCs w:val="24"/>
              </w:rPr>
              <w:t> 1) специальная образовательная подготовка (получение высшего образования или</w:t>
            </w:r>
          </w:p>
          <w:p>
            <w:pPr>
              <w:jc w:val="left"/>
              <w:spacing w:after="0" w:line="240" w:lineRule="auto"/>
              <w:rPr>
                <w:sz w:val="24"/>
                <w:szCs w:val="24"/>
              </w:rPr>
            </w:pPr>
            <w:r>
              <w:rPr>
                <w:rFonts w:ascii="Times New Roman" w:hAnsi="Times New Roman" w:cs="Times New Roman"/>
                <w:color w:val="#000000"/>
                <w:sz w:val="24"/>
                <w:szCs w:val="24"/>
              </w:rPr>
              <w:t> второй специальности) - особенности</w:t>
            </w:r>
          </w:p>
          <w:p>
            <w:pPr>
              <w:jc w:val="left"/>
              <w:spacing w:after="0" w:line="240" w:lineRule="auto"/>
              <w:rPr>
                <w:sz w:val="24"/>
                <w:szCs w:val="24"/>
              </w:rPr>
            </w:pPr>
            <w:r>
              <w:rPr>
                <w:rFonts w:ascii="Times New Roman" w:hAnsi="Times New Roman" w:cs="Times New Roman"/>
                <w:color w:val="#000000"/>
                <w:sz w:val="24"/>
                <w:szCs w:val="24"/>
              </w:rPr>
              <w:t> 2) повышение квалификации (на курсах и в межкурсовой период) -  формы (очная и онлайн), способы. Сайты для повышения квалификации.</w:t>
            </w:r>
          </w:p>
          <w:p>
            <w:pPr>
              <w:jc w:val="left"/>
              <w:spacing w:after="0" w:line="240" w:lineRule="auto"/>
              <w:rPr>
                <w:sz w:val="24"/>
                <w:szCs w:val="24"/>
              </w:rPr>
            </w:pPr>
            <w:r>
              <w:rPr>
                <w:rFonts w:ascii="Times New Roman" w:hAnsi="Times New Roman" w:cs="Times New Roman"/>
                <w:color w:val="#000000"/>
                <w:sz w:val="24"/>
                <w:szCs w:val="24"/>
              </w:rPr>
              <w:t> 3)групповая самообразовательная работа: работа методических объединений, творческих</w:t>
            </w:r>
          </w:p>
          <w:p>
            <w:pPr>
              <w:jc w:val="left"/>
              <w:spacing w:after="0" w:line="240" w:lineRule="auto"/>
              <w:rPr>
                <w:sz w:val="24"/>
                <w:szCs w:val="24"/>
              </w:rPr>
            </w:pPr>
            <w:r>
              <w:rPr>
                <w:rFonts w:ascii="Times New Roman" w:hAnsi="Times New Roman" w:cs="Times New Roman"/>
                <w:color w:val="#000000"/>
                <w:sz w:val="24"/>
                <w:szCs w:val="24"/>
              </w:rPr>
              <w:t> групп (проведение собеседований, ежегодных отчетов, посещение и анализ уроков</w:t>
            </w:r>
          </w:p>
          <w:p>
            <w:pPr>
              <w:jc w:val="left"/>
              <w:spacing w:after="0" w:line="240" w:lineRule="auto"/>
              <w:rPr>
                <w:sz w:val="24"/>
                <w:szCs w:val="24"/>
              </w:rPr>
            </w:pPr>
            <w:r>
              <w:rPr>
                <w:rFonts w:ascii="Times New Roman" w:hAnsi="Times New Roman" w:cs="Times New Roman"/>
                <w:color w:val="#000000"/>
                <w:sz w:val="24"/>
                <w:szCs w:val="24"/>
              </w:rPr>
              <w:t> коллег), проведение циклов лекций, семинаров, педагогических чтений - посик групповых сообществ учителей начальных классов. Анализ работы деятелньости сообществ.</w:t>
            </w:r>
          </w:p>
          <w:p>
            <w:pPr>
              <w:jc w:val="left"/>
              <w:spacing w:after="0" w:line="240" w:lineRule="auto"/>
              <w:rPr>
                <w:sz w:val="24"/>
                <w:szCs w:val="24"/>
              </w:rPr>
            </w:pPr>
            <w:r>
              <w:rPr>
                <w:rFonts w:ascii="Times New Roman" w:hAnsi="Times New Roman" w:cs="Times New Roman"/>
                <w:color w:val="#000000"/>
                <w:sz w:val="24"/>
                <w:szCs w:val="24"/>
              </w:rPr>
              <w:t>  4)ндивидуальная самообразовательная работа с помощью: средств массовой информации,</w:t>
            </w:r>
          </w:p>
          <w:p>
            <w:pPr>
              <w:jc w:val="left"/>
              <w:spacing w:after="0" w:line="240" w:lineRule="auto"/>
              <w:rPr>
                <w:sz w:val="24"/>
                <w:szCs w:val="24"/>
              </w:rPr>
            </w:pPr>
            <w:r>
              <w:rPr>
                <w:rFonts w:ascii="Times New Roman" w:hAnsi="Times New Roman" w:cs="Times New Roman"/>
                <w:color w:val="#000000"/>
                <w:sz w:val="24"/>
                <w:szCs w:val="24"/>
              </w:rPr>
              <w:t> вычислительной и оргтехники, библиотек, музеев, исследований, экспериментов,</w:t>
            </w:r>
          </w:p>
          <w:p>
            <w:pPr>
              <w:jc w:val="left"/>
              <w:spacing w:after="0" w:line="240" w:lineRule="auto"/>
              <w:rPr>
                <w:sz w:val="24"/>
                <w:szCs w:val="24"/>
              </w:rPr>
            </w:pPr>
            <w:r>
              <w:rPr>
                <w:rFonts w:ascii="Times New Roman" w:hAnsi="Times New Roman" w:cs="Times New Roman"/>
                <w:color w:val="#000000"/>
                <w:sz w:val="24"/>
                <w:szCs w:val="24"/>
              </w:rPr>
              <w:t> осмысления передового опыта и обобщения собственной практической деятельности: способы индивидуального самообразования, сайты, полезные педагогу.</w:t>
            </w:r>
          </w:p>
          <w:p>
            <w:pPr>
              <w:jc w:val="left"/>
              <w:spacing w:after="0" w:line="240" w:lineRule="auto"/>
              <w:rPr>
                <w:sz w:val="24"/>
                <w:szCs w:val="24"/>
              </w:rPr>
            </w:pPr>
            <w:r>
              <w:rPr>
                <w:rFonts w:ascii="Times New Roman" w:hAnsi="Times New Roman" w:cs="Times New Roman"/>
                <w:color w:val="#000000"/>
                <w:sz w:val="24"/>
                <w:szCs w:val="24"/>
              </w:rPr>
              <w:t> формирование портфолио (участите в разнообразных конкурсах, мастер-классах, сетевых</w:t>
            </w:r>
          </w:p>
          <w:p>
            <w:pPr>
              <w:jc w:val="left"/>
              <w:spacing w:after="0" w:line="240" w:lineRule="auto"/>
              <w:rPr>
                <w:sz w:val="24"/>
                <w:szCs w:val="24"/>
              </w:rPr>
            </w:pPr>
            <w:r>
              <w:rPr>
                <w:rFonts w:ascii="Times New Roman" w:hAnsi="Times New Roman" w:cs="Times New Roman"/>
                <w:color w:val="#000000"/>
                <w:sz w:val="24"/>
                <w:szCs w:val="24"/>
              </w:rPr>
              <w:t> сообществах и т.д.).</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Научная конференция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темыконференции. Составление программы конференции и определение тематики докладов.Написание работ и выставление их на конкурс. Выбор докладчиков среди авторов лучших работ. Заслушивание докладов. Обсуждение докладов, подведение итогов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Публикационная деятельность педагога.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текста публикации:</w:t>
            </w:r>
          </w:p>
          <w:p>
            <w:pPr>
              <w:jc w:val="left"/>
              <w:spacing w:after="0" w:line="240" w:lineRule="auto"/>
              <w:rPr>
                <w:sz w:val="24"/>
                <w:szCs w:val="24"/>
              </w:rPr>
            </w:pPr>
            <w:r>
              <w:rPr>
                <w:rFonts w:ascii="Times New Roman" w:hAnsi="Times New Roman" w:cs="Times New Roman"/>
                <w:color w:val="#000000"/>
                <w:sz w:val="24"/>
                <w:szCs w:val="24"/>
              </w:rPr>
              <w:t>  - выбор темы публикации.</w:t>
            </w:r>
          </w:p>
          <w:p>
            <w:pPr>
              <w:jc w:val="left"/>
              <w:spacing w:after="0" w:line="240" w:lineRule="auto"/>
              <w:rPr>
                <w:sz w:val="24"/>
                <w:szCs w:val="24"/>
              </w:rPr>
            </w:pPr>
            <w:r>
              <w:rPr>
                <w:rFonts w:ascii="Times New Roman" w:hAnsi="Times New Roman" w:cs="Times New Roman"/>
                <w:color w:val="#000000"/>
                <w:sz w:val="24"/>
                <w:szCs w:val="24"/>
              </w:rPr>
              <w:t> - поиск издательства.</w:t>
            </w:r>
          </w:p>
          <w:p>
            <w:pPr>
              <w:jc w:val="left"/>
              <w:spacing w:after="0" w:line="240" w:lineRule="auto"/>
              <w:rPr>
                <w:sz w:val="24"/>
                <w:szCs w:val="24"/>
              </w:rPr>
            </w:pPr>
            <w:r>
              <w:rPr>
                <w:rFonts w:ascii="Times New Roman" w:hAnsi="Times New Roman" w:cs="Times New Roman"/>
                <w:color w:val="#000000"/>
                <w:sz w:val="24"/>
                <w:szCs w:val="24"/>
              </w:rPr>
              <w:t> - подготовка публикации.</w:t>
            </w:r>
          </w:p>
          <w:p>
            <w:pPr>
              <w:jc w:val="left"/>
              <w:spacing w:after="0" w:line="240" w:lineRule="auto"/>
              <w:rPr>
                <w:sz w:val="24"/>
                <w:szCs w:val="24"/>
              </w:rPr>
            </w:pPr>
            <w:r>
              <w:rPr>
                <w:rFonts w:ascii="Times New Roman" w:hAnsi="Times New Roman" w:cs="Times New Roman"/>
                <w:color w:val="#000000"/>
                <w:sz w:val="24"/>
                <w:szCs w:val="24"/>
              </w:rPr>
              <w:t> - оформление текстов.</w:t>
            </w:r>
          </w:p>
          <w:p>
            <w:pPr>
              <w:jc w:val="left"/>
              <w:spacing w:after="0" w:line="240" w:lineRule="auto"/>
              <w:rPr>
                <w:sz w:val="24"/>
                <w:szCs w:val="24"/>
              </w:rPr>
            </w:pPr>
            <w:r>
              <w:rPr>
                <w:rFonts w:ascii="Times New Roman" w:hAnsi="Times New Roman" w:cs="Times New Roman"/>
                <w:color w:val="#000000"/>
                <w:sz w:val="24"/>
                <w:szCs w:val="24"/>
              </w:rPr>
              <w:t> - оформление библиографического списка.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«Исследовательская деятельность педагога начального образования»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Самоменеджмент</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профессиональный</w:t>
            </w:r>
            <w:r>
              <w:rPr/>
              <w:t xml:space="preserve"> </w:t>
            </w:r>
            <w:r>
              <w:rPr>
                <w:rFonts w:ascii="Times New Roman" w:hAnsi="Times New Roman" w:cs="Times New Roman"/>
                <w:color w:val="#000000"/>
                <w:sz w:val="24"/>
                <w:szCs w:val="24"/>
              </w:rPr>
              <w:t>портрет.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слушателей</w:t>
            </w:r>
            <w:r>
              <w:rPr/>
              <w:t xml:space="preserve"> </w:t>
            </w:r>
            <w:r>
              <w:rPr>
                <w:rFonts w:ascii="Times New Roman" w:hAnsi="Times New Roman" w:cs="Times New Roman"/>
                <w:color w:val="#000000"/>
                <w:sz w:val="24"/>
                <w:szCs w:val="24"/>
              </w:rPr>
              <w:t>педагогических</w:t>
            </w:r>
            <w:r>
              <w:rPr/>
              <w:t xml:space="preserve"> </w:t>
            </w:r>
            <w:r>
              <w:rPr>
                <w:rFonts w:ascii="Times New Roman" w:hAnsi="Times New Roman" w:cs="Times New Roman"/>
                <w:color w:val="#000000"/>
                <w:sz w:val="24"/>
                <w:szCs w:val="24"/>
              </w:rPr>
              <w:t>специальностей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Самоменеджмент</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профессиональный</w:t>
            </w:r>
            <w:r>
              <w:rPr/>
              <w:t xml:space="preserve"> </w:t>
            </w:r>
            <w:r>
              <w:rPr>
                <w:rFonts w:ascii="Times New Roman" w:hAnsi="Times New Roman" w:cs="Times New Roman"/>
                <w:color w:val="#000000"/>
                <w:sz w:val="24"/>
                <w:szCs w:val="24"/>
              </w:rPr>
              <w:t>портрет.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слушателей</w:t>
            </w:r>
            <w:r>
              <w:rPr/>
              <w:t xml:space="preserve"> </w:t>
            </w:r>
            <w:r>
              <w:rPr>
                <w:rFonts w:ascii="Times New Roman" w:hAnsi="Times New Roman" w:cs="Times New Roman"/>
                <w:color w:val="#000000"/>
                <w:sz w:val="24"/>
                <w:szCs w:val="24"/>
              </w:rPr>
              <w:t>педагогических</w:t>
            </w:r>
            <w:r>
              <w:rPr/>
              <w:t xml:space="preserve"> </w:t>
            </w:r>
            <w:r>
              <w:rPr>
                <w:rFonts w:ascii="Times New Roman" w:hAnsi="Times New Roman" w:cs="Times New Roman"/>
                <w:color w:val="#000000"/>
                <w:sz w:val="24"/>
                <w:szCs w:val="24"/>
              </w:rPr>
              <w:t>специальностей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Ставропольского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978-5-91090-157-9.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https://www.iprbookshop.ru/117411.html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Интернет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сервисы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Грибанова-Подкина,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Сухорукова,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Интернет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работе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сервисы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Саратовского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978-5-292-04706-3.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https://www.iprbookshop.ru/116327.html</w:t>
            </w:r>
            <w:r>
              <w:rPr/>
              <w:t xml:space="preserve"> </w:t>
            </w:r>
          </w:p>
        </w:tc>
      </w:tr>
      <w:tr>
        <w:trPr>
          <w:trHeight w:hRule="exact" w:val="826.140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Профессиональное</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Психолого-акмеологические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Огородова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https://urait.ru/bcode/493039</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Профессионально-личностное</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программы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978-5-534-13403-2.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https://urait.ru/bcode/496530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Индивидуальность</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Задорина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https://urait.ru/bcode/491431</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соответствия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требованиям</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стандарта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Красильников,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Рукавишникова,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Соина,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Тоискин,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Тюренкова,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Цвирко,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Шумакова,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соответствия</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требованиям</w:t>
            </w:r>
            <w:r>
              <w:rPr/>
              <w:t xml:space="preserve"> </w:t>
            </w:r>
            <w:r>
              <w:rPr>
                <w:rFonts w:ascii="Times New Roman" w:hAnsi="Times New Roman" w:cs="Times New Roman"/>
                <w:color w:val="#000000"/>
                <w:sz w:val="24"/>
                <w:szCs w:val="24"/>
              </w:rPr>
              <w:t>профессионального</w:t>
            </w:r>
            <w:r>
              <w:rPr/>
              <w:t xml:space="preserve"> </w:t>
            </w:r>
            <w:r>
              <w:rPr>
                <w:rFonts w:ascii="Times New Roman" w:hAnsi="Times New Roman" w:cs="Times New Roman"/>
                <w:color w:val="#000000"/>
                <w:sz w:val="24"/>
                <w:szCs w:val="24"/>
              </w:rPr>
              <w:t>стандарта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Ставролит,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978-5-907161-27-6.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https://www.iprbookshop.ru/117395.html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Профессионализм</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уровня</w:t>
            </w:r>
            <w:r>
              <w:rPr/>
              <w:t xml:space="preserve"> </w:t>
            </w:r>
            <w:r>
              <w:rPr>
                <w:rFonts w:ascii="Times New Roman" w:hAnsi="Times New Roman" w:cs="Times New Roman"/>
                <w:color w:val="#000000"/>
                <w:sz w:val="24"/>
                <w:szCs w:val="24"/>
              </w:rPr>
              <w:t>квалификации</w:t>
            </w:r>
            <w:r>
              <w:rPr/>
              <w:t xml:space="preserve"> </w:t>
            </w:r>
            <w:r>
              <w:rPr>
                <w:rFonts w:ascii="Times New Roman" w:hAnsi="Times New Roman" w:cs="Times New Roman"/>
                <w:color w:val="#000000"/>
                <w:sz w:val="24"/>
                <w:szCs w:val="24"/>
              </w:rPr>
              <w:t>педагогических</w:t>
            </w:r>
            <w:r>
              <w:rPr/>
              <w:t xml:space="preserve"> </w:t>
            </w:r>
            <w:r>
              <w:rPr>
                <w:rFonts w:ascii="Times New Roman" w:hAnsi="Times New Roman" w:cs="Times New Roman"/>
                <w:color w:val="#000000"/>
                <w:sz w:val="24"/>
                <w:szCs w:val="24"/>
              </w:rPr>
              <w:t>работников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Шадриков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Профессионализм</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уровня</w:t>
            </w:r>
            <w:r>
              <w:rPr/>
              <w:t xml:space="preserve"> </w:t>
            </w:r>
            <w:r>
              <w:rPr>
                <w:rFonts w:ascii="Times New Roman" w:hAnsi="Times New Roman" w:cs="Times New Roman"/>
                <w:color w:val="#000000"/>
                <w:sz w:val="24"/>
                <w:szCs w:val="24"/>
              </w:rPr>
              <w:t>квалификации</w:t>
            </w:r>
            <w:r>
              <w:rPr/>
              <w:t xml:space="preserve"> </w:t>
            </w:r>
            <w:r>
              <w:rPr>
                <w:rFonts w:ascii="Times New Roman" w:hAnsi="Times New Roman" w:cs="Times New Roman"/>
                <w:color w:val="#000000"/>
                <w:sz w:val="24"/>
                <w:szCs w:val="24"/>
              </w:rPr>
              <w:t>педагогических</w:t>
            </w:r>
            <w:r>
              <w:rPr/>
              <w:t xml:space="preserve"> </w:t>
            </w:r>
            <w:r>
              <w:rPr>
                <w:rFonts w:ascii="Times New Roman" w:hAnsi="Times New Roman" w:cs="Times New Roman"/>
                <w:color w:val="#000000"/>
                <w:sz w:val="24"/>
                <w:szCs w:val="24"/>
              </w:rPr>
              <w:t>работников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978-5-98704-597-8.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http://www.iprbookshop.ru/9146.html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реализация</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учителя</w:t>
            </w:r>
            <w:r>
              <w:rPr/>
              <w:t xml:space="preserve"> </w:t>
            </w:r>
            <w:r>
              <w:rPr>
                <w:rFonts w:ascii="Times New Roman" w:hAnsi="Times New Roman" w:cs="Times New Roman"/>
                <w:color w:val="#000000"/>
                <w:sz w:val="24"/>
                <w:szCs w:val="24"/>
              </w:rPr>
              <w:t>начальных</w:t>
            </w:r>
            <w:r>
              <w:rPr/>
              <w:t xml:space="preserve"> </w:t>
            </w:r>
            <w:r>
              <w:rPr>
                <w:rFonts w:ascii="Times New Roman" w:hAnsi="Times New Roman" w:cs="Times New Roman"/>
                <w:color w:val="#000000"/>
                <w:sz w:val="24"/>
                <w:szCs w:val="24"/>
              </w:rPr>
              <w:t>классов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творческой</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978-5-4263-0080-4.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http://www.iprbookshop.ru/18588.html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Теоретико-методологические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практико-ориентированной</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Ведерникова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Поворознюк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Еланцева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https://urait.ru/bcode/477095</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Ценностно-смысловые</w:t>
            </w:r>
            <w:r>
              <w:rPr/>
              <w:t xml:space="preserve"> </w:t>
            </w:r>
            <w:r>
              <w:rPr>
                <w:rFonts w:ascii="Times New Roman" w:hAnsi="Times New Roman" w:cs="Times New Roman"/>
                <w:color w:val="#000000"/>
                <w:sz w:val="24"/>
                <w:szCs w:val="24"/>
              </w:rPr>
              <w:t>ориентиры</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цифрового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Антилогова,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Асриев,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Вишняков,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Втюрина,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Диких,</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Дроботенко,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Кочеулова,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Лоренц,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Мурзина,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Навойчик,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Намсинк,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Петрусевич,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Удалова,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Чекалева,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Четверикова,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Чуркина,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Чухин,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Чухина,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Шипилина,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Шипилина,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Широбоков,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Gichuru,</w:t>
            </w:r>
            <w:r>
              <w:rPr/>
              <w:t xml:space="preserve"> </w:t>
            </w:r>
            <w:r>
              <w:rPr>
                <w:rFonts w:ascii="Times New Roman" w:hAnsi="Times New Roman" w:cs="Times New Roman"/>
                <w:color w:val="#000000"/>
                <w:sz w:val="24"/>
                <w:szCs w:val="24"/>
              </w:rPr>
              <w:t>M.,</w:t>
            </w:r>
            <w:r>
              <w:rPr/>
              <w:t xml:space="preserve"> </w:t>
            </w:r>
            <w:r>
              <w:rPr>
                <w:rFonts w:ascii="Times New Roman" w:hAnsi="Times New Roman" w:cs="Times New Roman"/>
                <w:color w:val="#000000"/>
                <w:sz w:val="24"/>
                <w:szCs w:val="24"/>
              </w:rPr>
              <w:t>Koch,</w:t>
            </w:r>
            <w:r>
              <w:rPr/>
              <w:t xml:space="preserve"> </w:t>
            </w:r>
            <w:r>
              <w:rPr>
                <w:rFonts w:ascii="Times New Roman" w:hAnsi="Times New Roman" w:cs="Times New Roman"/>
                <w:color w:val="#000000"/>
                <w:sz w:val="24"/>
                <w:szCs w:val="24"/>
              </w:rPr>
              <w:t>Ch.,</w:t>
            </w:r>
            <w:r>
              <w:rPr/>
              <w:t xml:space="preserve"> </w:t>
            </w:r>
            <w:r>
              <w:rPr>
                <w:rFonts w:ascii="Times New Roman" w:hAnsi="Times New Roman" w:cs="Times New Roman"/>
                <w:color w:val="#000000"/>
                <w:sz w:val="24"/>
                <w:szCs w:val="24"/>
              </w:rPr>
              <w:t>Thi-Hong,</w:t>
            </w:r>
            <w:r>
              <w:rPr/>
              <w:t xml:space="preserve"> </w:t>
            </w:r>
            <w:r>
              <w:rPr>
                <w:rFonts w:ascii="Times New Roman" w:hAnsi="Times New Roman" w:cs="Times New Roman"/>
                <w:color w:val="#000000"/>
                <w:sz w:val="24"/>
                <w:szCs w:val="24"/>
              </w:rPr>
              <w:t>Vo,</w:t>
            </w:r>
            <w:r>
              <w:rPr/>
              <w:t xml:space="preserve"> </w:t>
            </w:r>
            <w:r>
              <w:rPr>
                <w:rFonts w:ascii="Times New Roman" w:hAnsi="Times New Roman" w:cs="Times New Roman"/>
                <w:color w:val="#000000"/>
                <w:sz w:val="24"/>
                <w:szCs w:val="24"/>
              </w:rPr>
              <w:t>Roiger,</w:t>
            </w:r>
            <w:r>
              <w:rPr/>
              <w:t xml:space="preserve"> </w:t>
            </w:r>
            <w:r>
              <w:rPr>
                <w:rFonts w:ascii="Times New Roman" w:hAnsi="Times New Roman" w:cs="Times New Roman"/>
                <w:color w:val="#000000"/>
                <w:sz w:val="24"/>
                <w:szCs w:val="24"/>
              </w:rPr>
              <w:t>P.,</w:t>
            </w:r>
            <w:r>
              <w:rPr/>
              <w:t xml:space="preserve"> </w:t>
            </w:r>
            <w:r>
              <w:rPr>
                <w:rFonts w:ascii="Times New Roman" w:hAnsi="Times New Roman" w:cs="Times New Roman"/>
                <w:color w:val="#000000"/>
                <w:sz w:val="24"/>
                <w:szCs w:val="24"/>
              </w:rPr>
              <w:t>Чекалевой,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Ценностно-смысловые</w:t>
            </w:r>
            <w:r>
              <w:rPr/>
              <w:t xml:space="preserve"> </w:t>
            </w:r>
            <w:r>
              <w:rPr>
                <w:rFonts w:ascii="Times New Roman" w:hAnsi="Times New Roman" w:cs="Times New Roman"/>
                <w:color w:val="#000000"/>
                <w:sz w:val="24"/>
                <w:szCs w:val="24"/>
              </w:rPr>
              <w:t>ориентиры</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цифрового</w:t>
            </w:r>
            <w:r>
              <w:rPr/>
              <w:t xml:space="preserve"> </w:t>
            </w:r>
            <w:r>
              <w:rPr>
                <w:rFonts w:ascii="Times New Roman" w:hAnsi="Times New Roman" w:cs="Times New Roman"/>
                <w:color w:val="#000000"/>
                <w:sz w:val="24"/>
                <w:szCs w:val="24"/>
              </w:rPr>
              <w:t>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ОмГПУ,</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978-5-8268-2326-2.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https://www.iprbookshop.ru/125997.html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Персональный</w:t>
            </w:r>
            <w:r>
              <w:rPr/>
              <w:t xml:space="preserve"> </w:t>
            </w:r>
            <w:r>
              <w:rPr>
                <w:rFonts w:ascii="Times New Roman" w:hAnsi="Times New Roman" w:cs="Times New Roman"/>
                <w:color w:val="#000000"/>
                <w:sz w:val="24"/>
                <w:szCs w:val="24"/>
              </w:rPr>
              <w:t>сайт</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Саркисян,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Персональный</w:t>
            </w:r>
            <w:r>
              <w:rPr/>
              <w:t xml:space="preserve"> </w:t>
            </w:r>
            <w:r>
              <w:rPr>
                <w:rFonts w:ascii="Times New Roman" w:hAnsi="Times New Roman" w:cs="Times New Roman"/>
                <w:color w:val="#000000"/>
                <w:sz w:val="24"/>
                <w:szCs w:val="24"/>
              </w:rPr>
              <w:t>сайт</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https://www.iprbookshop.ru/120631.html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233.9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2024-2025_ФГОС3++2024_Маг-ОФО-ПО(НО)(24)_plx_Исследовательская деятельность педагога начального образования</dc:title>
  <dc:creator>FastReport.NET</dc:creator>
</cp:coreProperties>
</file>